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Last Review: </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8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Requirement – statutory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Board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Lead: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Manuela Gordea</w:t>
      </w:r>
    </w:p>
    <w:p w:rsidR="00000000" w:rsidDel="00000000" w:rsidP="00000000" w:rsidRDefault="00000000" w:rsidRPr="00000000" w14:paraId="00000009">
      <w:pPr>
        <w:spacing w:line="7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Review Process: </w:t>
        <w:tab/>
        <w:tab/>
        <w:tab/>
      </w:r>
      <w:r w:rsidDel="00000000" w:rsidR="00000000" w:rsidRPr="00000000">
        <w:rPr>
          <w:rFonts w:ascii="Calibri" w:cs="Calibri" w:eastAsia="Calibri" w:hAnsi="Calibri"/>
          <w:sz w:val="22"/>
          <w:szCs w:val="22"/>
          <w:rtl w:val="0"/>
        </w:rPr>
        <w:t xml:space="preserve">Annually [or as appropriate]</w:t>
      </w:r>
    </w:p>
    <w:p w:rsidR="00000000" w:rsidDel="00000000" w:rsidP="00000000" w:rsidRDefault="00000000" w:rsidRPr="00000000" w14:paraId="0000000A">
      <w:pPr>
        <w:spacing w:line="7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Location:</w:t>
        <w:tab/>
      </w:r>
      <w:r w:rsidDel="00000000" w:rsidR="00000000" w:rsidRPr="00000000">
        <w:rPr>
          <w:rFonts w:ascii="Calibri" w:cs="Calibri" w:eastAsia="Calibri" w:hAnsi="Calibri"/>
          <w:sz w:val="22"/>
          <w:szCs w:val="22"/>
          <w:rtl w:val="0"/>
        </w:rPr>
        <w:tab/>
        <w:tab/>
        <w:tab/>
        <w:t xml:space="preserve">R:\SLT\Policies</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of Next Review:</w:t>
      </w:r>
      <w:r w:rsidDel="00000000" w:rsidR="00000000" w:rsidRPr="00000000">
        <w:rPr>
          <w:rFonts w:ascii="Calibri" w:cs="Calibri" w:eastAsia="Calibri" w:hAnsi="Calibri"/>
          <w:sz w:val="22"/>
          <w:szCs w:val="22"/>
          <w:rtl w:val="0"/>
        </w:rPr>
        <w:tab/>
        <w:tab/>
        <w:tab/>
        <w:t xml:space="preserve">September 2022</w:t>
      </w:r>
    </w:p>
    <w:p w:rsidR="00000000" w:rsidDel="00000000" w:rsidP="00000000" w:rsidRDefault="00000000" w:rsidRPr="00000000" w14:paraId="0000000C">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Biometrics Policy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for the collection and management of biometric information.  A biometric recognition system obtains or records information about a person’s physical or behavioural characteristics and compares that information with information which has been previously stored to determine whether the person is recognised by the system.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points are numbered. The numbering corresponds to explanations of ‘why?’ and ‘how?’ for each point further down the page.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32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4"/>
        <w:tblGridChange w:id="0">
          <w:tblGrid>
            <w:gridCol w:w="13284"/>
          </w:tblGrid>
        </w:tblGridChange>
      </w:tblGrid>
      <w:tr>
        <w:trPr>
          <w:cantSplit w:val="0"/>
          <w:tblHeader w:val="0"/>
        </w:trPr>
        <w:tc>
          <w:tcPr>
            <w:shd w:fill="000000"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must I do?</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refer to your use of biometric data in your privacy notices, ensuring individuals are clear about their rights in relation to its use</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ensure that all students understand that they can object or refuse to allow their biometric data to be taken/used</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gain consent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writing from at least one parent. Consent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required from the student, even if they are aged 12 or over (but see point 9)</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consent has been given</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provide a simple process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withdraw consent</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consent is withdrawn or objections are raised</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continue to hold or use biometric data where consent for its use has been withdrawn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any parent/guardian/carer withdraws consent you must cease to hold and use the biometric data even if the other parent/guardian/carer has not withdrawn consent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accept the view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they do not want their biometric data used by the school, regardless of their age.  The student’s wishes supersede any parent/guardian/carer wishes.  If both or either parent has consented and the student does not wish the data to be processed, the student’s wishes take precedent.</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ensure that there is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alternative arrangement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available for any services which use biometrics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biometric data is held in an encrypted form, and that all available technical and organisational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measures are applied</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complete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Protection Impact Assessment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use of biometric data</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use of biometric data must be recorded in your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records of processing 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(Framework document H1)</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share biometric data with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parties unless there is an appropriate contract in place protecting the rights of data subjects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32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4"/>
        <w:tblGridChange w:id="0">
          <w:tblGrid>
            <w:gridCol w:w="13284"/>
          </w:tblGrid>
        </w:tblGridChange>
      </w:tblGrid>
      <w:tr>
        <w:trPr>
          <w:cantSplit w:val="0"/>
          <w:tblHeader w:val="0"/>
        </w:trPr>
        <w:tc>
          <w:tcPr>
            <w:shd w:fill="000000"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Why must I do it?</w:t>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requires us to process personal data fairly, lawfully and transparently.  This means we must tell people how we use biometric data and their rights in relation to its use.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comply with your legal obligations and DfE Guidance.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sensitivity of biometric data the only appropriate legal basis is consent from the parent/guardian/carer.</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legislation requires consent to be evidential, and this is best achieved by gaining consent in writing.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have a consent withdrawal process in place which your staff are aware of. Withdrawal of consent must be a simple process and must not be more difficult than the process for giving consent.</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be able to evidence when you stopped using the data and why.</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unlawful to continue to process data where consent has been withdrawn.</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singular parent/guardian/carer withdrawal overrides multiple consents for the same biometric data.</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wish would supersede those of either or both parent/guardian/carers.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services which use biometric recognition must have an alternative method of access to ensure equality of opportunity as this processing is consensual.</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Biometric data is subject to a higher requirement for security because it is classed as special category data within the Data Protection Act 2018.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biometric data is a special category data and is used to monitor the activities of students in certain circumstances you are required to complete a Data Protection Impact Assessment.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Processing Activity are a legal requirement under the UK General Data Protection Act 2016 as applied by the Data Protection Act 2018.</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comply with the Data Protection Act 2018.</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32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4"/>
        <w:tblGridChange w:id="0">
          <w:tblGrid>
            <w:gridCol w:w="13284"/>
          </w:tblGrid>
        </w:tblGridChange>
      </w:tblGrid>
      <w:tr>
        <w:trPr>
          <w:cantSplit w:val="0"/>
          <w:tblHeader w:val="0"/>
        </w:trPr>
        <w:tc>
          <w:tcPr>
            <w:shd w:fill="000000"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How must I do it?</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Biometric privacy notice provided by IGS is published on your website.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account of the students’ age and level of understanding.  Parents should also be told of their child’s right to object or to refuse and be encouraged to discuss this with their child.</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Gain consent from parents by asking them to sign a consent form which can be retained on the student file.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consent form to gain consent from parent/guardian/carers which can be placed in the student file to evidence consent was provided.  Ensure you request consent using clear, plain language and that the parent/guardian/carer takes a positive action by ticking and signing the form, to evidence consent was given.  Consent can be gained for several things on one form, however each processing activity you require consent for must be itemised to ensure that consent is sought for each activity individually within the form.</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explain on your privacy notices and consent forms how individuals can withdraw consent or object to your use of biometric data.</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consent is withdrawn, or biometric processing is objected to, you must keep a record of this in the student file which shows the actions you took to resolve matters.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delete the biometric data when consent for its use has been withdrawn.  You must ensure that if your biometrics system is provided by a third party and includes access to biometric data that they too delete any copies of the biometric data from their systems.  This should be stated in your contract with the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if they will have copies of the biometric data.</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more than one parent/guardian/carer has consented to biometric processing, only one of those parent/guardian/carers needs to withdraw consent in order to stop the processing.</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student’s request to stop processing their biometric data overrides that of any parent/guardian/carer and must be acted on immediately.</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continuation of your previous process as an alternative to biometric recognition.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must be fully encrypted to a high level at rest and in transit and all other relevant physical or technical controls must be applied.  All relevant security measures employed by the school must be applied to biometric data.</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Data Protection Impact Assessment is required when processing biometric data due to its sensitivity.  Please seek support from IGS who can assist in this activity.</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Records of Processing Activity is provided in your Framework, document ref H1. This must be maintained and regularly reviewed to meet your legal obligations under the UK GDPR.</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contract in a supplier of biometric recognition systems you must ensure that your contract with them is GDPR compliant, and that they can provide sufficient assurances of their suitability for processing such sensitive data.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32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4"/>
        <w:tblGridChange w:id="0">
          <w:tblGrid>
            <w:gridCol w:w="13284"/>
          </w:tblGrid>
        </w:tblGridChange>
      </w:tblGrid>
      <w:tr>
        <w:trPr>
          <w:cantSplit w:val="0"/>
          <w:tblHeader w:val="0"/>
        </w:trPr>
        <w:tc>
          <w:tcPr>
            <w:shd w:fill="000000" w:val="clear"/>
          </w:tcPr>
          <w:p w:rsidR="00000000" w:rsidDel="00000000" w:rsidP="00000000" w:rsidRDefault="00000000" w:rsidRPr="00000000" w14:paraId="0000004D">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Document Control</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Version: </w:t>
        <w:tab/>
        <w:tab/>
        <w:t xml:space="preserve">2</w:t>
      </w:r>
    </w:p>
    <w:p w:rsidR="00000000" w:rsidDel="00000000" w:rsidP="00000000" w:rsidRDefault="00000000" w:rsidRPr="00000000" w14:paraId="0000005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approved: </w:t>
        <w:tab/>
        <w:tab/>
        <w:t xml:space="preserve">July 2021</w:t>
      </w:r>
    </w:p>
    <w:p w:rsidR="00000000" w:rsidDel="00000000" w:rsidP="00000000" w:rsidRDefault="00000000" w:rsidRPr="00000000" w14:paraId="0000005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by:</w:t>
        <w:tab/>
        <w:tab/>
        <w:t xml:space="preserve">Trust Board</w:t>
      </w:r>
    </w:p>
    <w:p w:rsidR="00000000" w:rsidDel="00000000" w:rsidP="00000000" w:rsidRDefault="00000000" w:rsidRPr="00000000" w14:paraId="0000005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review: </w:t>
        <w:tab/>
        <w:tab/>
        <w:t xml:space="preserve">Autumn 2022</w:t>
      </w:r>
    </w:p>
    <w:p w:rsidR="00000000" w:rsidDel="00000000" w:rsidP="00000000" w:rsidRDefault="00000000" w:rsidRPr="00000000" w14:paraId="00000053">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2"/>
          <w:szCs w:val="22"/>
        </w:rPr>
      </w:pPr>
      <w:r w:rsidDel="00000000" w:rsidR="00000000" w:rsidRPr="00000000">
        <w:rPr>
          <w:rtl w:val="0"/>
        </w:rPr>
      </w:r>
    </w:p>
    <w:tbl>
      <w:tblPr>
        <w:tblStyle w:val="Table5"/>
        <w:tblW w:w="132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4"/>
        <w:tblGridChange w:id="0">
          <w:tblGrid>
            <w:gridCol w:w="13284"/>
          </w:tblGrid>
        </w:tblGridChange>
      </w:tblGrid>
      <w:tr>
        <w:trPr>
          <w:cantSplit w:val="0"/>
          <w:tblHeader w:val="0"/>
        </w:trPr>
        <w:tc>
          <w:tcPr>
            <w:shd w:fill="000000" w:val="clear"/>
          </w:tcPr>
          <w:p w:rsidR="00000000" w:rsidDel="00000000" w:rsidP="00000000" w:rsidRDefault="00000000" w:rsidRPr="00000000" w14:paraId="00000056">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References</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Data Protection Regulations 2016 </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8, The Human Rights Act 1998</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of Freedoms Act 2012</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 Protection of biometric information of children in schools and colleges – March 2018</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6"/>
        <w:tblW w:w="132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4"/>
        <w:tblGridChange w:id="0">
          <w:tblGrid>
            <w:gridCol w:w="13284"/>
          </w:tblGrid>
        </w:tblGridChange>
      </w:tblGrid>
      <w:tr>
        <w:trPr>
          <w:cantSplit w:val="0"/>
          <w:tblHeader w:val="0"/>
        </w:trPr>
        <w:tc>
          <w:tcPr>
            <w:shd w:fill="000000" w:val="clear"/>
          </w:tcPr>
          <w:p w:rsidR="00000000" w:rsidDel="00000000" w:rsidP="00000000" w:rsidRDefault="00000000" w:rsidRPr="00000000" w14:paraId="0000005F">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Breach Statement</w:t>
            </w:r>
          </w:p>
        </w:tc>
      </w:tr>
    </w:tbl>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of Information Policies will be investigated and may result in disciplinary action. Serious breaches of Policy may be considered gross misconduct and result in dismissal without notice, or legal action being taken against you.</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first"/>
      <w:pgSz w:h="11906" w:w="16838" w:orient="landscape"/>
      <w:pgMar w:bottom="1440" w:top="1440" w:left="1276" w:right="2268" w:header="142" w:footer="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f497d"/>
        <w:sz w:val="20"/>
        <w:szCs w:val="20"/>
        <w:u w:val="none"/>
        <w:shd w:fill="auto" w:val="clear"/>
        <w:vertAlign w:val="baseline"/>
      </w:rPr>
    </w:pPr>
    <w:r w:rsidDel="00000000" w:rsidR="00000000" w:rsidRPr="00000000">
      <w:rPr>
        <w:rFonts w:ascii="Calibri" w:cs="Calibri" w:eastAsia="Calibri" w:hAnsi="Calibri"/>
        <w:b w:val="0"/>
        <w:i w:val="0"/>
        <w:smallCaps w:val="0"/>
        <w:strike w:val="0"/>
        <w:color w:val="1f497d"/>
        <w:sz w:val="20"/>
        <w:szCs w:val="20"/>
        <w:u w:val="none"/>
        <w:shd w:fill="auto" w:val="clear"/>
        <w:vertAlign w:val="baseline"/>
        <w:rtl w:val="0"/>
      </w:rPr>
      <w:t xml:space="preserve">CEO: Mr Ahson Mohammed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f497d"/>
        <w:sz w:val="20"/>
        <w:szCs w:val="20"/>
        <w:u w:val="none"/>
        <w:shd w:fill="auto" w:val="clear"/>
        <w:vertAlign w:val="baseline"/>
      </w:rPr>
    </w:pPr>
    <w:r w:rsidDel="00000000" w:rsidR="00000000" w:rsidRPr="00000000">
      <w:rPr>
        <w:rFonts w:ascii="Calibri" w:cs="Calibri" w:eastAsia="Calibri" w:hAnsi="Calibri"/>
        <w:b w:val="0"/>
        <w:i w:val="0"/>
        <w:smallCaps w:val="0"/>
        <w:strike w:val="0"/>
        <w:color w:val="1f497d"/>
        <w:sz w:val="20"/>
        <w:szCs w:val="20"/>
        <w:u w:val="none"/>
        <w:shd w:fill="auto" w:val="clear"/>
        <w:vertAlign w:val="baseline"/>
        <w:rtl w:val="0"/>
      </w:rPr>
      <w:t xml:space="preserve">The ‘Compass Education Trust Limited’ is a charitable company limited by guarantee.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f497d"/>
        <w:sz w:val="20"/>
        <w:szCs w:val="20"/>
        <w:u w:val="none"/>
        <w:shd w:fill="auto" w:val="clear"/>
        <w:vertAlign w:val="baseline"/>
      </w:rPr>
    </w:pPr>
    <w:r w:rsidDel="00000000" w:rsidR="00000000" w:rsidRPr="00000000">
      <w:rPr>
        <w:rFonts w:ascii="Calibri" w:cs="Calibri" w:eastAsia="Calibri" w:hAnsi="Calibri"/>
        <w:b w:val="0"/>
        <w:i w:val="0"/>
        <w:smallCaps w:val="0"/>
        <w:strike w:val="0"/>
        <w:color w:val="1f497d"/>
        <w:sz w:val="20"/>
        <w:szCs w:val="20"/>
        <w:u w:val="none"/>
        <w:shd w:fill="auto" w:val="clear"/>
        <w:vertAlign w:val="baseline"/>
        <w:rtl w:val="0"/>
      </w:rPr>
      <w:t xml:space="preserve">Registered company no: 07666213. Registered office: The Billericay School, School Road, Billericay, CM12 9LH</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120"/>
      </w:tabs>
      <w:spacing w:after="0" w:before="0" w:line="240" w:lineRule="auto"/>
      <w:ind w:left="0" w:right="0" w:firstLine="0"/>
      <w:jc w:val="left"/>
      <w:rPr>
        <w:rFonts w:ascii="Arial" w:cs="Arial" w:eastAsia="Arial" w:hAnsi="Arial"/>
        <w:b w:val="0"/>
        <w:i w:val="0"/>
        <w:smallCaps w:val="0"/>
        <w:strike w:val="0"/>
        <w:color w:val="1f497d"/>
        <w:sz w:val="56"/>
        <w:szCs w:val="56"/>
        <w:u w:val="none"/>
        <w:shd w:fill="auto" w:val="clear"/>
        <w:vertAlign w:val="baseline"/>
      </w:rPr>
    </w:pPr>
    <w:r w:rsidDel="00000000" w:rsidR="00000000" w:rsidRPr="00000000">
      <w:rPr>
        <w:rFonts w:ascii="Arial" w:cs="Arial" w:eastAsia="Arial" w:hAnsi="Arial"/>
        <w:b w:val="0"/>
        <w:i w:val="0"/>
        <w:smallCaps w:val="0"/>
        <w:strike w:val="0"/>
        <w:color w:val="1f497d"/>
        <w:sz w:val="56"/>
        <w:szCs w:val="56"/>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-333374</wp:posOffset>
          </wp:positionH>
          <wp:positionV relativeFrom="paragraph">
            <wp:posOffset>230505</wp:posOffset>
          </wp:positionV>
          <wp:extent cx="869776" cy="933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9776" cy="933450"/>
                  </a:xfrm>
                  <a:prstGeom prst="rect"/>
                  <a:ln/>
                </pic:spPr>
              </pic:pic>
            </a:graphicData>
          </a:graphic>
        </wp:anchor>
      </w:drawing>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1f497d"/>
        <w:sz w:val="52"/>
        <w:szCs w:val="52"/>
        <w:u w:val="none"/>
        <w:shd w:fill="auto" w:val="clear"/>
        <w:vertAlign w:val="baseline"/>
      </w:rPr>
    </w:pPr>
    <w:r w:rsidDel="00000000" w:rsidR="00000000" w:rsidRPr="00000000">
      <w:rPr>
        <w:rFonts w:ascii="Calibri" w:cs="Calibri" w:eastAsia="Calibri" w:hAnsi="Calibri"/>
        <w:b w:val="0"/>
        <w:i w:val="0"/>
        <w:smallCaps w:val="0"/>
        <w:strike w:val="0"/>
        <w:color w:val="1f497d"/>
        <w:sz w:val="52"/>
        <w:szCs w:val="52"/>
        <w:u w:val="none"/>
        <w:shd w:fill="auto" w:val="clear"/>
        <w:vertAlign w:val="baseline"/>
        <w:rtl w:val="0"/>
      </w:rPr>
      <w:t xml:space="preserve">COMPASS EDUCATION TRUST LTD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26" w:right="0" w:firstLine="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32"/>
      <w:szCs w:val="32"/>
    </w:rPr>
  </w:style>
  <w:style w:type="paragraph" w:styleId="Heading2">
    <w:name w:val="heading 2"/>
    <w:basedOn w:val="Normal"/>
    <w:next w:val="Normal"/>
    <w:pPr>
      <w:keepNext w:val="1"/>
      <w:keepLines w:val="1"/>
      <w:spacing w:after="0" w:before="200" w:lineRule="auto"/>
      <w:ind w:left="405" w:hanging="405"/>
    </w:pPr>
    <w:rPr>
      <w:rFonts w:ascii="Calibri" w:cs="Calibri" w:eastAsia="Calibri" w:hAnsi="Calibri"/>
      <w:b w:val="1"/>
      <w:color w:val="ffffff"/>
      <w:sz w:val="40"/>
      <w:szCs w:val="40"/>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